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6B" w:rsidRDefault="0081596B" w:rsidP="0081596B">
      <w:pPr>
        <w:ind w:firstLine="709"/>
        <w:jc w:val="both"/>
      </w:pPr>
      <w:r>
        <w:t xml:space="preserve">                                                                                                               </w:t>
      </w:r>
    </w:p>
    <w:p w:rsidR="0081596B" w:rsidRPr="00760E43" w:rsidRDefault="0081596B" w:rsidP="0081596B">
      <w:pPr>
        <w:ind w:firstLine="709"/>
        <w:jc w:val="both"/>
      </w:pPr>
      <w:r>
        <w:t xml:space="preserve">                                                                             </w:t>
      </w:r>
      <w:r w:rsidRPr="00760E43">
        <w:t xml:space="preserve"> </w:t>
      </w:r>
      <w:r>
        <w:t xml:space="preserve">   </w:t>
      </w:r>
      <w:r w:rsidRPr="00760E43">
        <w:t xml:space="preserve"> </w:t>
      </w:r>
      <w:r>
        <w:t xml:space="preserve"> </w:t>
      </w:r>
      <w:r w:rsidRPr="00760E43">
        <w:t>Утверждаю:</w:t>
      </w:r>
    </w:p>
    <w:p w:rsidR="0081596B" w:rsidRDefault="0081596B" w:rsidP="0081596B">
      <w:pPr>
        <w:ind w:left="5670" w:hanging="4961"/>
      </w:pPr>
      <w:r>
        <w:t xml:space="preserve">                                                                                   </w:t>
      </w:r>
      <w:proofErr w:type="spellStart"/>
      <w:r w:rsidR="003F7F13">
        <w:t>И.о</w:t>
      </w:r>
      <w:proofErr w:type="spellEnd"/>
      <w:r w:rsidR="003F7F13">
        <w:t>. г</w:t>
      </w:r>
      <w:r>
        <w:t>лавн</w:t>
      </w:r>
      <w:r w:rsidR="003F7F13">
        <w:t>ого</w:t>
      </w:r>
      <w:r>
        <w:t xml:space="preserve"> редактор</w:t>
      </w:r>
      <w:r w:rsidR="003F7F13">
        <w:t>а</w:t>
      </w:r>
      <w:r>
        <w:t>-руководител</w:t>
      </w:r>
      <w:r w:rsidR="003F7F13">
        <w:t>я</w:t>
      </w:r>
      <w:r>
        <w:t xml:space="preserve"> филиала</w:t>
      </w:r>
    </w:p>
    <w:p w:rsidR="0081596B" w:rsidRPr="00760E43" w:rsidRDefault="0081596B" w:rsidP="0081596B">
      <w:pPr>
        <w:ind w:firstLine="709"/>
      </w:pPr>
      <w:r>
        <w:t xml:space="preserve">                                                                                   </w:t>
      </w:r>
      <w:r w:rsidRPr="00760E43">
        <w:t xml:space="preserve">АО </w:t>
      </w:r>
      <w:r>
        <w:t>«ТАТМЕДИА</w:t>
      </w:r>
      <w:r w:rsidRPr="00760E43">
        <w:t>»</w:t>
      </w:r>
    </w:p>
    <w:p w:rsidR="0081596B" w:rsidRPr="00760E43" w:rsidRDefault="0081596B" w:rsidP="0081596B">
      <w:r>
        <w:t xml:space="preserve">                                                                                              «Нурлат-</w:t>
      </w:r>
      <w:proofErr w:type="spellStart"/>
      <w:r>
        <w:t>информ</w:t>
      </w:r>
      <w:proofErr w:type="spellEnd"/>
      <w:r>
        <w:t>»</w:t>
      </w:r>
    </w:p>
    <w:p w:rsidR="0081596B" w:rsidRPr="00760E43" w:rsidRDefault="0081596B" w:rsidP="0081596B">
      <w:pPr>
        <w:ind w:firstLine="709"/>
      </w:pPr>
      <w:r>
        <w:t xml:space="preserve">                                                                                     _</w:t>
      </w:r>
      <w:r w:rsidRPr="00760E43">
        <w:t>_____________</w:t>
      </w:r>
      <w:proofErr w:type="spellStart"/>
      <w:r w:rsidR="00D73B50">
        <w:t>С</w:t>
      </w:r>
      <w:r>
        <w:t>.</w:t>
      </w:r>
      <w:r w:rsidR="00D73B50">
        <w:t>Н</w:t>
      </w:r>
      <w:r>
        <w:t>.</w:t>
      </w:r>
      <w:r w:rsidR="00D73B50">
        <w:t>Самерханова</w:t>
      </w:r>
      <w:proofErr w:type="spellEnd"/>
    </w:p>
    <w:p w:rsidR="0081596B" w:rsidRPr="00760E43" w:rsidRDefault="0081596B" w:rsidP="0081596B">
      <w:pPr>
        <w:ind w:firstLine="709"/>
      </w:pPr>
      <w:r w:rsidRPr="00760E43">
        <w:t>.</w:t>
      </w:r>
      <w:r>
        <w:t xml:space="preserve">                                                                              </w:t>
      </w:r>
      <w:r w:rsidRPr="00760E43">
        <w:t xml:space="preserve">     «</w:t>
      </w:r>
      <w:r w:rsidR="00D73B50">
        <w:t>18</w:t>
      </w:r>
      <w:r w:rsidRPr="00760E43">
        <w:t xml:space="preserve">» </w:t>
      </w:r>
      <w:r w:rsidR="00D73B50">
        <w:t>октября</w:t>
      </w:r>
      <w:r w:rsidRPr="00760E43">
        <w:t xml:space="preserve"> 20</w:t>
      </w:r>
      <w:r>
        <w:t>2</w:t>
      </w:r>
      <w:r w:rsidR="00D73B50">
        <w:t>4</w:t>
      </w:r>
      <w:r w:rsidRPr="00760E43">
        <w:t xml:space="preserve"> г.</w:t>
      </w:r>
    </w:p>
    <w:p w:rsidR="0081596B" w:rsidRPr="00760E43" w:rsidRDefault="0081596B" w:rsidP="0081596B">
      <w:pPr>
        <w:ind w:firstLine="709"/>
        <w:jc w:val="both"/>
      </w:pPr>
    </w:p>
    <w:p w:rsidR="0081596B" w:rsidRPr="00760E43" w:rsidRDefault="0081596B" w:rsidP="0081596B">
      <w:pPr>
        <w:ind w:firstLine="709"/>
        <w:jc w:val="center"/>
      </w:pPr>
      <w:r w:rsidRPr="00760E43">
        <w:t>ПОЛОЖЕНИЕ</w:t>
      </w:r>
    </w:p>
    <w:p w:rsidR="0081596B" w:rsidRPr="00760E43" w:rsidRDefault="0081596B" w:rsidP="0081596B">
      <w:pPr>
        <w:ind w:firstLine="709"/>
        <w:jc w:val="center"/>
      </w:pPr>
      <w:r>
        <w:t>Акции</w:t>
      </w:r>
      <w:r w:rsidRPr="00760E43">
        <w:t xml:space="preserve"> «</w:t>
      </w:r>
      <w:r w:rsidR="003F7F13">
        <w:t>Мамин праздник</w:t>
      </w:r>
      <w:r>
        <w:rPr>
          <w:lang w:val="tt-RU"/>
        </w:rPr>
        <w:t xml:space="preserve"> </w:t>
      </w:r>
      <w:r w:rsidR="003F7F13">
        <w:rPr>
          <w:lang w:val="tt-RU"/>
        </w:rPr>
        <w:t xml:space="preserve">с </w:t>
      </w:r>
      <w:r w:rsidRPr="00760E43">
        <w:t>«</w:t>
      </w:r>
      <w:r w:rsidR="003F7F13">
        <w:t>Дружбой</w:t>
      </w:r>
      <w:r w:rsidRPr="00760E43">
        <w:t>»</w:t>
      </w:r>
    </w:p>
    <w:p w:rsidR="0081596B" w:rsidRPr="00760E43" w:rsidRDefault="0081596B" w:rsidP="0081596B">
      <w:pPr>
        <w:ind w:firstLine="709"/>
        <w:jc w:val="center"/>
      </w:pPr>
      <w:r w:rsidRPr="00760E43">
        <w:t>среди подписчиков газеты «</w:t>
      </w:r>
      <w:proofErr w:type="spellStart"/>
      <w:r w:rsidRPr="00760E43">
        <w:t>Дуслык</w:t>
      </w:r>
      <w:proofErr w:type="spellEnd"/>
      <w:r w:rsidRPr="00760E43">
        <w:t>» («Дружба», «</w:t>
      </w:r>
      <w:proofErr w:type="spellStart"/>
      <w:r w:rsidRPr="00760E43">
        <w:t>Туслах</w:t>
      </w:r>
      <w:proofErr w:type="spellEnd"/>
      <w:r w:rsidRPr="00760E43">
        <w:t>»)</w:t>
      </w:r>
      <w:r w:rsidR="003F7F13">
        <w:t xml:space="preserve"> в рамках Года семьи</w:t>
      </w:r>
      <w:r w:rsidR="00D73B50">
        <w:t xml:space="preserve"> и приуроченного ко Дню матери</w:t>
      </w:r>
    </w:p>
    <w:p w:rsidR="0081596B" w:rsidRPr="00825086" w:rsidRDefault="0081596B" w:rsidP="0081596B">
      <w:pPr>
        <w:ind w:firstLine="709"/>
        <w:jc w:val="center"/>
        <w:rPr>
          <w:b/>
        </w:rPr>
      </w:pPr>
    </w:p>
    <w:p w:rsidR="0081596B" w:rsidRPr="00760E43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760E43">
        <w:rPr>
          <w:b/>
        </w:rPr>
        <w:t xml:space="preserve">Общие положения. Цель </w:t>
      </w:r>
      <w:r w:rsidR="00D73B50">
        <w:rPr>
          <w:b/>
        </w:rPr>
        <w:t>Акции</w:t>
      </w:r>
    </w:p>
    <w:p w:rsidR="0081596B" w:rsidRPr="00825086" w:rsidRDefault="0081596B" w:rsidP="0081596B">
      <w:pPr>
        <w:ind w:firstLine="709"/>
        <w:jc w:val="both"/>
      </w:pPr>
    </w:p>
    <w:p w:rsidR="0081596B" w:rsidRDefault="0081596B" w:rsidP="0081596B">
      <w:pPr>
        <w:ind w:firstLine="709"/>
        <w:jc w:val="both"/>
      </w:pPr>
      <w:r w:rsidRPr="00825086">
        <w:t>1.1. Открыт</w:t>
      </w:r>
      <w:r>
        <w:t>ая</w:t>
      </w:r>
      <w:r w:rsidRPr="00825086">
        <w:t xml:space="preserve"> публичн</w:t>
      </w:r>
      <w:r>
        <w:t>ая акция –</w:t>
      </w:r>
      <w:r w:rsidRPr="00754599">
        <w:t xml:space="preserve"> </w:t>
      </w:r>
      <w:r w:rsidR="003F7F13" w:rsidRPr="003F7F13">
        <w:t>«Мамин праздник с «Дружбой»</w:t>
      </w:r>
      <w:r w:rsidRPr="00825086">
        <w:t xml:space="preserve"> (далее по тексту – </w:t>
      </w:r>
      <w:r>
        <w:t>Акция</w:t>
      </w:r>
      <w:r w:rsidRPr="00825086">
        <w:t xml:space="preserve">) проводится </w:t>
      </w:r>
      <w:r w:rsidRPr="009F4299">
        <w:t>в рекламных целях</w:t>
      </w:r>
      <w:r w:rsidRPr="00825086">
        <w:t xml:space="preserve"> и в целях привлечения </w:t>
      </w:r>
      <w:r w:rsidR="003F7F13">
        <w:t>семей</w:t>
      </w:r>
      <w:r w:rsidRPr="00825086">
        <w:t xml:space="preserve"> к оформлению подписки на районную газету «</w:t>
      </w:r>
      <w:proofErr w:type="spellStart"/>
      <w:r w:rsidRPr="00825086">
        <w:t>Дуслык</w:t>
      </w:r>
      <w:proofErr w:type="spellEnd"/>
      <w:r w:rsidRPr="00825086">
        <w:t>» («Дружба», «</w:t>
      </w:r>
      <w:proofErr w:type="spellStart"/>
      <w:r w:rsidRPr="00825086">
        <w:t>Туслах</w:t>
      </w:r>
      <w:proofErr w:type="spellEnd"/>
      <w:r w:rsidR="003F7F13">
        <w:t>) на 1 полугодие 2025 года</w:t>
      </w:r>
      <w:r w:rsidR="00DB1A4A">
        <w:t>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1.2. </w:t>
      </w:r>
      <w:r>
        <w:t>Акция</w:t>
      </w:r>
      <w:r w:rsidRPr="00825086">
        <w:t xml:space="preserve"> проводится на территории </w:t>
      </w:r>
      <w:proofErr w:type="spellStart"/>
      <w:r>
        <w:t>Нурлатского</w:t>
      </w:r>
      <w:proofErr w:type="spellEnd"/>
      <w:r w:rsidRPr="00825086">
        <w:t xml:space="preserve"> муниципального района Республики Татарстан.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1.3. В рамках проведения </w:t>
      </w:r>
      <w:r>
        <w:t>Акции</w:t>
      </w:r>
      <w:r w:rsidRPr="00825086">
        <w:t xml:space="preserve"> Организатор обещает выдать наград</w:t>
      </w:r>
      <w:r w:rsidR="00401355">
        <w:t>ы</w:t>
      </w:r>
      <w:r w:rsidRPr="00825086">
        <w:t>, установленн</w:t>
      </w:r>
      <w:r w:rsidR="00401355">
        <w:t>ые</w:t>
      </w:r>
      <w:r w:rsidRPr="00825086">
        <w:t xml:space="preserve"> в разделе 6 настоящего Положения, лицам, соответствующим требованиям, закрепленным в разделе 4.2 настоящего Положения, и признанными победителями Конкурса</w:t>
      </w:r>
      <w:r w:rsidR="00D73B50">
        <w:t xml:space="preserve">. </w:t>
      </w:r>
    </w:p>
    <w:p w:rsidR="0081596B" w:rsidRDefault="0081596B" w:rsidP="0081596B">
      <w:pPr>
        <w:ind w:firstLine="709"/>
        <w:jc w:val="both"/>
      </w:pPr>
      <w:r w:rsidRPr="00825086">
        <w:t xml:space="preserve">1.4. Правила проведения </w:t>
      </w:r>
      <w:r w:rsidR="00D73B50">
        <w:t>А</w:t>
      </w:r>
      <w:r>
        <w:t>кции</w:t>
      </w:r>
      <w:r w:rsidRPr="00825086">
        <w:t xml:space="preserve">, в том числе условия участия, определения </w:t>
      </w:r>
      <w:proofErr w:type="gramStart"/>
      <w:r w:rsidRPr="00825086">
        <w:t>победителей,  указаны</w:t>
      </w:r>
      <w:proofErr w:type="gramEnd"/>
      <w:r w:rsidRPr="00825086">
        <w:t xml:space="preserve"> в настоящем Положении.</w:t>
      </w:r>
    </w:p>
    <w:p w:rsidR="0081596B" w:rsidRPr="00825086" w:rsidRDefault="0081596B" w:rsidP="0081596B">
      <w:pPr>
        <w:ind w:firstLine="709"/>
        <w:jc w:val="both"/>
      </w:pPr>
      <w:r w:rsidRPr="00825086">
        <w:t>1.</w:t>
      </w:r>
      <w:r>
        <w:t>5</w:t>
      </w:r>
      <w:r w:rsidRPr="00825086">
        <w:t xml:space="preserve">. </w:t>
      </w:r>
      <w:r>
        <w:t>Акция</w:t>
      </w:r>
      <w:r w:rsidRPr="00825086">
        <w:t xml:space="preserve"> является публичн</w:t>
      </w:r>
      <w:r>
        <w:t>ой акцией</w:t>
      </w:r>
      <w:r w:rsidRPr="00825086">
        <w:t>, так как предложение принять в нем участие обращено к неограниченному кругу лиц, соответствующему требованиям настоящего Положения.</w:t>
      </w:r>
    </w:p>
    <w:p w:rsidR="0081596B" w:rsidRPr="00825086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 Сведения об Организаторе </w:t>
      </w:r>
      <w:r>
        <w:rPr>
          <w:b/>
        </w:rPr>
        <w:t>Акции</w:t>
      </w:r>
      <w:r w:rsidRPr="00825086">
        <w:rPr>
          <w:b/>
        </w:rPr>
        <w:t>.</w:t>
      </w:r>
    </w:p>
    <w:p w:rsidR="0081596B" w:rsidRDefault="0081596B" w:rsidP="0081596B">
      <w:pPr>
        <w:ind w:firstLine="709"/>
        <w:jc w:val="both"/>
      </w:pPr>
      <w:r w:rsidRPr="00825086">
        <w:t>2.1. Полное наименование Организатора</w:t>
      </w:r>
      <w:r w:rsidRPr="00825086">
        <w:rPr>
          <w:b/>
        </w:rPr>
        <w:t>:</w:t>
      </w:r>
      <w:r>
        <w:t xml:space="preserve"> </w:t>
      </w:r>
      <w:r w:rsidR="00D73B50">
        <w:t>ф</w:t>
      </w:r>
      <w:r>
        <w:t xml:space="preserve">илиал </w:t>
      </w:r>
      <w:r w:rsidRPr="00825086">
        <w:t>АО «</w:t>
      </w:r>
      <w:r>
        <w:t>ТАТМЕДИА</w:t>
      </w:r>
      <w:r w:rsidRPr="00825086">
        <w:t xml:space="preserve">» </w:t>
      </w:r>
      <w:r>
        <w:t>«Нурлат-</w:t>
      </w:r>
      <w:proofErr w:type="spellStart"/>
      <w:r>
        <w:t>информ</w:t>
      </w:r>
      <w:proofErr w:type="spellEnd"/>
      <w:r>
        <w:t>».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2.2. Адрес местонахождения Организатора </w:t>
      </w:r>
      <w:r>
        <w:t>Акции</w:t>
      </w:r>
      <w:r w:rsidRPr="00825086">
        <w:t>: 42</w:t>
      </w:r>
      <w:r w:rsidR="00D73B50">
        <w:t>3040</w:t>
      </w:r>
      <w:r w:rsidRPr="00825086">
        <w:t xml:space="preserve">, Республика Татарстан, </w:t>
      </w:r>
      <w:proofErr w:type="spellStart"/>
      <w:r>
        <w:t>г.Нурлат</w:t>
      </w:r>
      <w:proofErr w:type="spellEnd"/>
      <w:r w:rsidRPr="00825086">
        <w:t xml:space="preserve">, ул. </w:t>
      </w:r>
      <w:proofErr w:type="spellStart"/>
      <w:r>
        <w:t>К.Маркса</w:t>
      </w:r>
      <w:proofErr w:type="spellEnd"/>
      <w:r>
        <w:t>, 1Г.</w:t>
      </w:r>
    </w:p>
    <w:p w:rsidR="0081596B" w:rsidRPr="00825086" w:rsidRDefault="0081596B" w:rsidP="0081596B">
      <w:pPr>
        <w:ind w:firstLine="709"/>
        <w:jc w:val="both"/>
      </w:pPr>
      <w:r w:rsidRPr="00825086">
        <w:t>ИНН 1655144950</w:t>
      </w:r>
    </w:p>
    <w:p w:rsidR="0081596B" w:rsidRPr="00825086" w:rsidRDefault="0081596B" w:rsidP="0081596B">
      <w:pPr>
        <w:ind w:firstLine="709"/>
        <w:jc w:val="both"/>
      </w:pPr>
      <w:r w:rsidRPr="00825086">
        <w:t>КПП 16</w:t>
      </w:r>
      <w:r>
        <w:t>32</w:t>
      </w:r>
      <w:r w:rsidRPr="00825086">
        <w:t>0200</w:t>
      </w:r>
      <w:r>
        <w:t>1</w:t>
      </w:r>
      <w:r w:rsidRPr="00825086">
        <w:t>.</w:t>
      </w:r>
    </w:p>
    <w:p w:rsidR="0081596B" w:rsidRPr="00825086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Сроки проведения </w:t>
      </w:r>
      <w:r w:rsidR="00D73B50">
        <w:rPr>
          <w:b/>
        </w:rPr>
        <w:t>Акции</w:t>
      </w:r>
      <w:r w:rsidRPr="00825086">
        <w:rPr>
          <w:b/>
        </w:rPr>
        <w:t>.</w:t>
      </w:r>
    </w:p>
    <w:p w:rsidR="0081596B" w:rsidRPr="003732D0" w:rsidRDefault="0081596B" w:rsidP="0081596B">
      <w:pPr>
        <w:ind w:firstLine="709"/>
        <w:jc w:val="both"/>
      </w:pPr>
      <w:r w:rsidRPr="003732D0">
        <w:t xml:space="preserve">3.1. </w:t>
      </w:r>
      <w:r>
        <w:t>Акция</w:t>
      </w:r>
      <w:r w:rsidRPr="003732D0">
        <w:t xml:space="preserve"> проводится среди подписчиков</w:t>
      </w:r>
      <w:r w:rsidR="003F7F13">
        <w:t xml:space="preserve"> – семей с детьми</w:t>
      </w:r>
      <w:r w:rsidRPr="003732D0">
        <w:t>, оформивших подписку на газету «</w:t>
      </w:r>
      <w:proofErr w:type="spellStart"/>
      <w:r w:rsidRPr="003732D0">
        <w:t>Дуслык</w:t>
      </w:r>
      <w:proofErr w:type="spellEnd"/>
      <w:r w:rsidRPr="003732D0">
        <w:t>» («Дружба», «</w:t>
      </w:r>
      <w:proofErr w:type="spellStart"/>
      <w:r w:rsidRPr="003732D0">
        <w:t>Туслах</w:t>
      </w:r>
      <w:proofErr w:type="spellEnd"/>
      <w:r w:rsidRPr="003732D0">
        <w:t xml:space="preserve">») на </w:t>
      </w:r>
      <w:r w:rsidR="003F7F13">
        <w:t>первое</w:t>
      </w:r>
      <w:r w:rsidRPr="003732D0">
        <w:t xml:space="preserve"> полугодие 20</w:t>
      </w:r>
      <w:r>
        <w:t>2</w:t>
      </w:r>
      <w:r w:rsidR="003F7F13">
        <w:t>5</w:t>
      </w:r>
      <w:r w:rsidRPr="003732D0">
        <w:t xml:space="preserve"> года</w:t>
      </w:r>
      <w:r w:rsidR="003F7F13">
        <w:t xml:space="preserve"> с 21 октября по 21 ноября 2024 года</w:t>
      </w:r>
      <w:r w:rsidRPr="003732D0">
        <w:t xml:space="preserve">. Подписка должна быть оформлена не менее чем на 6 (шесть) месяцев. </w:t>
      </w:r>
    </w:p>
    <w:p w:rsidR="0081596B" w:rsidRPr="003732D0" w:rsidRDefault="0081596B" w:rsidP="0081596B">
      <w:pPr>
        <w:ind w:firstLine="709"/>
        <w:jc w:val="both"/>
      </w:pPr>
      <w:r w:rsidRPr="003732D0">
        <w:t xml:space="preserve">3.2. </w:t>
      </w:r>
      <w:r>
        <w:t xml:space="preserve">Дата проведения Акции – информация о дате проведения </w:t>
      </w:r>
      <w:r w:rsidR="00D73B50">
        <w:t>А</w:t>
      </w:r>
      <w:r>
        <w:t xml:space="preserve">кции будет размещена на страницах газеты, на сайте </w:t>
      </w:r>
      <w:r w:rsidRPr="008A2004">
        <w:t>nurlat-tat.ru</w:t>
      </w:r>
      <w:r>
        <w:t>, а также</w:t>
      </w:r>
      <w:r w:rsidR="003F7F13">
        <w:t xml:space="preserve"> в</w:t>
      </w:r>
      <w:r>
        <w:t xml:space="preserve"> социальных сетях.  </w:t>
      </w:r>
    </w:p>
    <w:p w:rsidR="0081596B" w:rsidRDefault="0081596B" w:rsidP="0081596B">
      <w:pPr>
        <w:ind w:firstLine="709"/>
        <w:jc w:val="both"/>
      </w:pPr>
      <w:r w:rsidRPr="00825086">
        <w:t>3.</w:t>
      </w:r>
      <w:r>
        <w:t xml:space="preserve">3. </w:t>
      </w:r>
      <w:r w:rsidRPr="00825086">
        <w:t xml:space="preserve">Срок размещения итогов – на сайте газеты </w:t>
      </w:r>
      <w:proofErr w:type="spellStart"/>
      <w:r>
        <w:rPr>
          <w:lang w:val="en-US"/>
        </w:rPr>
        <w:t>nurlat</w:t>
      </w:r>
      <w:proofErr w:type="spellEnd"/>
      <w:r w:rsidRPr="00CB5C29">
        <w:t>-</w:t>
      </w:r>
      <w:r>
        <w:rPr>
          <w:lang w:val="en-US"/>
        </w:rPr>
        <w:t>tat</w:t>
      </w:r>
      <w:r w:rsidRPr="00825086">
        <w:t>.</w:t>
      </w:r>
      <w:proofErr w:type="spellStart"/>
      <w:r w:rsidRPr="00825086">
        <w:rPr>
          <w:lang w:val="en-US"/>
        </w:rPr>
        <w:t>ru</w:t>
      </w:r>
      <w:proofErr w:type="spellEnd"/>
      <w:r>
        <w:t xml:space="preserve"> в день проведения </w:t>
      </w:r>
      <w:r w:rsidR="0032704D">
        <w:t>розыгрыша</w:t>
      </w:r>
      <w:r>
        <w:t>,</w:t>
      </w:r>
      <w:r w:rsidRPr="00825086">
        <w:t xml:space="preserve"> на страницах газеты </w:t>
      </w:r>
      <w:r>
        <w:t>«</w:t>
      </w:r>
      <w:proofErr w:type="spellStart"/>
      <w:r>
        <w:t>Дуслык</w:t>
      </w:r>
      <w:proofErr w:type="spellEnd"/>
      <w:r>
        <w:t>» («Дружба», «</w:t>
      </w:r>
      <w:proofErr w:type="spellStart"/>
      <w:r>
        <w:t>Туслах</w:t>
      </w:r>
      <w:proofErr w:type="spellEnd"/>
      <w:r>
        <w:t>»)</w:t>
      </w:r>
      <w:r w:rsidRPr="00825086">
        <w:t xml:space="preserve"> </w:t>
      </w:r>
      <w:r>
        <w:t>– в ближайшем выпуске</w:t>
      </w:r>
      <w:r w:rsidRPr="00825086">
        <w:t xml:space="preserve">. </w:t>
      </w:r>
    </w:p>
    <w:p w:rsidR="0081596B" w:rsidRDefault="0081596B" w:rsidP="0081596B">
      <w:pPr>
        <w:ind w:firstLine="709"/>
        <w:jc w:val="both"/>
      </w:pPr>
      <w:r w:rsidRPr="00825086">
        <w:t>3.</w:t>
      </w:r>
      <w:r>
        <w:t>4</w:t>
      </w:r>
      <w:r w:rsidRPr="00825086">
        <w:t>.</w:t>
      </w:r>
      <w:r>
        <w:t xml:space="preserve"> </w:t>
      </w:r>
      <w:r w:rsidRPr="00825086">
        <w:t xml:space="preserve">Дата </w:t>
      </w:r>
      <w:r w:rsidR="0032704D">
        <w:t>награждения</w:t>
      </w:r>
      <w:r w:rsidRPr="00825086">
        <w:t xml:space="preserve"> –</w:t>
      </w:r>
      <w:r>
        <w:t xml:space="preserve"> </w:t>
      </w:r>
      <w:r w:rsidR="0032704D">
        <w:t>29 ноября 2024 года</w:t>
      </w:r>
      <w:r>
        <w:t>.</w:t>
      </w:r>
    </w:p>
    <w:p w:rsidR="0081596B" w:rsidRPr="00825086" w:rsidRDefault="0081596B" w:rsidP="0081596B">
      <w:pPr>
        <w:ind w:firstLine="709"/>
        <w:jc w:val="both"/>
      </w:pPr>
    </w:p>
    <w:p w:rsidR="0081596B" w:rsidRPr="00825086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Участники </w:t>
      </w:r>
      <w:r w:rsidR="00D73B50">
        <w:rPr>
          <w:b/>
        </w:rPr>
        <w:t>Акции</w:t>
      </w:r>
      <w:r w:rsidRPr="00825086">
        <w:rPr>
          <w:b/>
        </w:rPr>
        <w:t>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4.1 Лица, соответствующие настоящему Положению и выполнившие условия, установленные настоящим Положением, именуются Участниками </w:t>
      </w:r>
      <w:r>
        <w:t>Акции</w:t>
      </w:r>
      <w:r w:rsidRPr="00825086">
        <w:t>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4.2. К участию в </w:t>
      </w:r>
      <w:r w:rsidR="0032704D">
        <w:t>А</w:t>
      </w:r>
      <w:r>
        <w:t>кции</w:t>
      </w:r>
      <w:r w:rsidRPr="00825086">
        <w:t xml:space="preserve"> допускается любое дееспособное физическое лицо, проживающее на территории </w:t>
      </w:r>
      <w:proofErr w:type="spellStart"/>
      <w:r>
        <w:t>Нурлатского</w:t>
      </w:r>
      <w:proofErr w:type="spellEnd"/>
      <w:r w:rsidRPr="00825086">
        <w:t xml:space="preserve"> района РТ и достигшее 18-летнего возраста, выполнившее действия, установленные в пункте 5 настоящих Правил (далее по тексту – Участник).</w:t>
      </w:r>
    </w:p>
    <w:p w:rsidR="0081596B" w:rsidRPr="00825086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lastRenderedPageBreak/>
        <w:t xml:space="preserve">Правила участия в </w:t>
      </w:r>
      <w:r w:rsidR="00D73B50">
        <w:rPr>
          <w:b/>
        </w:rPr>
        <w:t>Акции</w:t>
      </w:r>
      <w:r w:rsidRPr="00825086">
        <w:rPr>
          <w:b/>
        </w:rPr>
        <w:t>.</w:t>
      </w:r>
    </w:p>
    <w:p w:rsidR="0081596B" w:rsidRDefault="00D73B50" w:rsidP="0081596B">
      <w:pPr>
        <w:ind w:firstLine="709"/>
        <w:jc w:val="both"/>
      </w:pPr>
      <w:r>
        <w:t xml:space="preserve"> </w:t>
      </w:r>
      <w:r w:rsidR="0081596B" w:rsidRPr="00825086">
        <w:t xml:space="preserve">5.1. </w:t>
      </w:r>
      <w:r w:rsidR="0081596B" w:rsidRPr="00F32D7C">
        <w:t>Для того</w:t>
      </w:r>
      <w:r w:rsidR="00401355">
        <w:t>,</w:t>
      </w:r>
      <w:r w:rsidR="0081596B" w:rsidRPr="00F32D7C">
        <w:t xml:space="preserve"> чтобы стать Участником </w:t>
      </w:r>
      <w:r w:rsidR="0081596B">
        <w:t>Акции</w:t>
      </w:r>
      <w:r w:rsidR="0081596B" w:rsidRPr="00F32D7C">
        <w:t xml:space="preserve"> лицу, соответствующему требованиям пункта 4.2</w:t>
      </w:r>
      <w:r>
        <w:t>.</w:t>
      </w:r>
      <w:r w:rsidR="0081596B" w:rsidRPr="00F32D7C">
        <w:t xml:space="preserve"> настоящего Положения, необходимо оформить подписку на районную газету «</w:t>
      </w:r>
      <w:proofErr w:type="spellStart"/>
      <w:r w:rsidR="0081596B" w:rsidRPr="00F32D7C">
        <w:t>Дуслык</w:t>
      </w:r>
      <w:proofErr w:type="spellEnd"/>
      <w:r w:rsidR="0081596B" w:rsidRPr="00F32D7C">
        <w:t>» («Дружба», «</w:t>
      </w:r>
      <w:proofErr w:type="spellStart"/>
      <w:r w:rsidR="0081596B" w:rsidRPr="00F32D7C">
        <w:t>Туслах</w:t>
      </w:r>
      <w:proofErr w:type="spellEnd"/>
      <w:r w:rsidR="0081596B" w:rsidRPr="00F32D7C">
        <w:t>») в период времени, указанный в п. 3.1</w:t>
      </w:r>
      <w:r>
        <w:t>.</w:t>
      </w:r>
      <w:r w:rsidR="0081596B" w:rsidRPr="00F32D7C">
        <w:t xml:space="preserve"> настоящего Положения.</w:t>
      </w:r>
      <w:r w:rsidR="0032704D">
        <w:t xml:space="preserve"> </w:t>
      </w:r>
    </w:p>
    <w:p w:rsidR="00D73B50" w:rsidRDefault="0032704D" w:rsidP="00D73B50">
      <w:pPr>
        <w:ind w:firstLine="709"/>
        <w:jc w:val="both"/>
      </w:pPr>
      <w:r>
        <w:t xml:space="preserve">5.2. Для участия в Акции необходимо отправить копию подписной квитанции с чеком по адресу </w:t>
      </w:r>
      <w:hyperlink r:id="rId5" w:history="1">
        <w:r w:rsidRPr="007D52A5">
          <w:rPr>
            <w:rStyle w:val="a4"/>
            <w:lang w:val="en-US"/>
          </w:rPr>
          <w:t>redak</w:t>
        </w:r>
        <w:r w:rsidRPr="007D52A5">
          <w:rPr>
            <w:rStyle w:val="a4"/>
          </w:rPr>
          <w:t>@</w:t>
        </w:r>
        <w:r w:rsidRPr="007D52A5">
          <w:rPr>
            <w:rStyle w:val="a4"/>
            <w:lang w:val="en-US"/>
          </w:rPr>
          <w:t>list</w:t>
        </w:r>
        <w:r w:rsidRPr="007D52A5">
          <w:rPr>
            <w:rStyle w:val="a4"/>
          </w:rPr>
          <w:t>.</w:t>
        </w:r>
        <w:proofErr w:type="spellStart"/>
        <w:r w:rsidRPr="007D52A5">
          <w:rPr>
            <w:rStyle w:val="a4"/>
            <w:lang w:val="en-US"/>
          </w:rPr>
          <w:t>ru</w:t>
        </w:r>
        <w:proofErr w:type="spellEnd"/>
      </w:hyperlink>
      <w:r>
        <w:t xml:space="preserve"> с пометкой </w:t>
      </w:r>
      <w:r w:rsidRPr="0032704D">
        <w:t>«Мамин праздник с «Дружбой»</w:t>
      </w:r>
      <w:r>
        <w:t>.</w:t>
      </w:r>
    </w:p>
    <w:p w:rsidR="00D73B50" w:rsidRPr="00825086" w:rsidRDefault="00D73B50" w:rsidP="00D73B50">
      <w:pPr>
        <w:ind w:firstLine="709"/>
        <w:jc w:val="both"/>
      </w:pPr>
      <w:r>
        <w:t>5.3</w:t>
      </w:r>
      <w:r w:rsidRPr="00825086">
        <w:t xml:space="preserve">. </w:t>
      </w:r>
      <w:r>
        <w:t xml:space="preserve">Каждый из участников Акции, выполнивший все условия, указанные в данном Положении, примет участие в розыгрыше пригласительных билетов на семейный праздник, приуроченный ко Дню матери, </w:t>
      </w:r>
      <w:r w:rsidRPr="0032704D">
        <w:t>«Мамин праздник с «Дружбой»</w:t>
      </w:r>
      <w:r>
        <w:t xml:space="preserve">, который состоится 29 ноября 2024 года в КДЦ «Грани». </w:t>
      </w:r>
    </w:p>
    <w:p w:rsidR="006473BF" w:rsidRDefault="006473BF" w:rsidP="0081596B">
      <w:pPr>
        <w:ind w:firstLine="709"/>
        <w:jc w:val="both"/>
      </w:pPr>
      <w:r>
        <w:t>5.</w:t>
      </w:r>
      <w:r w:rsidR="00D73B50">
        <w:t>4</w:t>
      </w:r>
      <w:r>
        <w:t xml:space="preserve">. По итогам розыгрыша определяются 3 победителя. </w:t>
      </w:r>
    </w:p>
    <w:p w:rsidR="0032704D" w:rsidRDefault="0032704D" w:rsidP="0081596B">
      <w:pPr>
        <w:ind w:firstLine="709"/>
        <w:jc w:val="both"/>
      </w:pPr>
      <w:r>
        <w:t>5.</w:t>
      </w:r>
      <w:r w:rsidR="00D73B50">
        <w:t>5</w:t>
      </w:r>
      <w:r>
        <w:t>. Победител</w:t>
      </w:r>
      <w:r w:rsidR="006473BF">
        <w:t>и</w:t>
      </w:r>
      <w:r>
        <w:t xml:space="preserve"> определ</w:t>
      </w:r>
      <w:r w:rsidR="006473BF">
        <w:t>яю</w:t>
      </w:r>
      <w:r>
        <w:t xml:space="preserve">тся путем розыгрыша среди всех Участников. </w:t>
      </w:r>
    </w:p>
    <w:p w:rsidR="0081596B" w:rsidRDefault="0081596B" w:rsidP="0081596B">
      <w:pPr>
        <w:ind w:firstLine="709"/>
        <w:jc w:val="both"/>
      </w:pPr>
      <w:r w:rsidRPr="00825086">
        <w:t>5.</w:t>
      </w:r>
      <w:r w:rsidR="00D73B50">
        <w:t>6</w:t>
      </w:r>
      <w:r w:rsidRPr="00825086">
        <w:t xml:space="preserve">. Один Участник может принять участие в </w:t>
      </w:r>
      <w:r>
        <w:t>акции</w:t>
      </w:r>
      <w:r w:rsidRPr="00825086">
        <w:t xml:space="preserve"> только один раз.</w:t>
      </w:r>
    </w:p>
    <w:p w:rsidR="0081596B" w:rsidRPr="00825086" w:rsidRDefault="0081596B" w:rsidP="0081596B">
      <w:pPr>
        <w:ind w:firstLine="709"/>
        <w:jc w:val="both"/>
      </w:pPr>
    </w:p>
    <w:p w:rsidR="0081596B" w:rsidRPr="00825086" w:rsidRDefault="0081596B" w:rsidP="0081596B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Размер и форма </w:t>
      </w:r>
      <w:r>
        <w:rPr>
          <w:b/>
        </w:rPr>
        <w:t>призов</w:t>
      </w:r>
    </w:p>
    <w:p w:rsidR="00401355" w:rsidRPr="00825086" w:rsidRDefault="00401355" w:rsidP="00401355">
      <w:pPr>
        <w:jc w:val="both"/>
      </w:pPr>
    </w:p>
    <w:p w:rsidR="0081596B" w:rsidRDefault="00D73B50" w:rsidP="00D73B50">
      <w:pPr>
        <w:pStyle w:val="a5"/>
        <w:numPr>
          <w:ilvl w:val="1"/>
          <w:numId w:val="3"/>
        </w:numPr>
        <w:jc w:val="both"/>
      </w:pPr>
      <w:r>
        <w:t xml:space="preserve"> </w:t>
      </w:r>
      <w:r w:rsidR="0081596B" w:rsidRPr="00825086">
        <w:t xml:space="preserve">Общий </w:t>
      </w:r>
      <w:r w:rsidR="0081596B">
        <w:t>призовой</w:t>
      </w:r>
      <w:r w:rsidR="0081596B" w:rsidRPr="00825086">
        <w:t xml:space="preserve"> фонд</w:t>
      </w:r>
      <w:r w:rsidR="0081596B">
        <w:t>:</w:t>
      </w:r>
    </w:p>
    <w:p w:rsidR="0081596B" w:rsidRPr="00825086" w:rsidRDefault="0081596B" w:rsidP="0081596B">
      <w:pPr>
        <w:ind w:left="1838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391"/>
        <w:gridCol w:w="2034"/>
        <w:gridCol w:w="1524"/>
        <w:gridCol w:w="1991"/>
      </w:tblGrid>
      <w:tr w:rsidR="0081596B" w:rsidRPr="00825086" w:rsidTr="00DB1A4A">
        <w:trPr>
          <w:trHeight w:val="1364"/>
        </w:trPr>
        <w:tc>
          <w:tcPr>
            <w:tcW w:w="2477" w:type="dxa"/>
            <w:shd w:val="clear" w:color="auto" w:fill="auto"/>
            <w:vAlign w:val="center"/>
          </w:tcPr>
          <w:p w:rsidR="0081596B" w:rsidRPr="00825086" w:rsidRDefault="0081596B" w:rsidP="009B5740">
            <w:pPr>
              <w:jc w:val="center"/>
              <w:rPr>
                <w:b/>
              </w:rPr>
            </w:pPr>
            <w:r w:rsidRPr="00825086">
              <w:rPr>
                <w:b/>
              </w:rPr>
              <w:t xml:space="preserve">Наименование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1596B" w:rsidRPr="00825086" w:rsidRDefault="0081596B" w:rsidP="002A5107">
            <w:pPr>
              <w:jc w:val="center"/>
              <w:rPr>
                <w:b/>
              </w:rPr>
            </w:pPr>
            <w:r w:rsidRPr="00825086">
              <w:rPr>
                <w:b/>
              </w:rPr>
              <w:t>Единица</w:t>
            </w:r>
          </w:p>
          <w:p w:rsidR="0081596B" w:rsidRPr="00825086" w:rsidRDefault="0081596B" w:rsidP="002A5107">
            <w:pPr>
              <w:jc w:val="center"/>
              <w:rPr>
                <w:b/>
              </w:rPr>
            </w:pPr>
            <w:r w:rsidRPr="00825086">
              <w:rPr>
                <w:b/>
              </w:rPr>
              <w:t>измерения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81596B" w:rsidRPr="00825086" w:rsidRDefault="0081596B" w:rsidP="002A5107">
            <w:pPr>
              <w:jc w:val="center"/>
              <w:rPr>
                <w:b/>
              </w:rPr>
            </w:pPr>
            <w:r w:rsidRPr="00825086">
              <w:rPr>
                <w:b/>
              </w:rPr>
              <w:t>Количество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1596B" w:rsidRPr="00825086" w:rsidRDefault="0081596B" w:rsidP="009B5740">
            <w:pPr>
              <w:jc w:val="center"/>
              <w:rPr>
                <w:b/>
              </w:rPr>
            </w:pPr>
            <w:r w:rsidRPr="00825086">
              <w:rPr>
                <w:b/>
              </w:rPr>
              <w:t>Цена, руб.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1596B" w:rsidRPr="00825086" w:rsidRDefault="0081596B" w:rsidP="009B5740">
            <w:pPr>
              <w:jc w:val="center"/>
              <w:rPr>
                <w:b/>
              </w:rPr>
            </w:pPr>
            <w:r w:rsidRPr="00825086">
              <w:rPr>
                <w:b/>
              </w:rPr>
              <w:t>Стоимость – всего руб.</w:t>
            </w:r>
          </w:p>
        </w:tc>
      </w:tr>
      <w:tr w:rsidR="0081596B" w:rsidRPr="00825086" w:rsidTr="00DB1A4A">
        <w:tc>
          <w:tcPr>
            <w:tcW w:w="2477" w:type="dxa"/>
            <w:shd w:val="clear" w:color="auto" w:fill="auto"/>
          </w:tcPr>
          <w:p w:rsidR="0081596B" w:rsidRPr="00825086" w:rsidRDefault="009B5740" w:rsidP="009B5740">
            <w:pPr>
              <w:jc w:val="both"/>
            </w:pPr>
            <w:r>
              <w:t>Услуги аниматора</w:t>
            </w:r>
          </w:p>
        </w:tc>
        <w:tc>
          <w:tcPr>
            <w:tcW w:w="1391" w:type="dxa"/>
            <w:shd w:val="clear" w:color="auto" w:fill="auto"/>
          </w:tcPr>
          <w:p w:rsidR="0081596B" w:rsidRPr="00825086" w:rsidRDefault="009B5740" w:rsidP="002A5107">
            <w:pPr>
              <w:jc w:val="center"/>
            </w:pPr>
            <w:r>
              <w:t xml:space="preserve">2 часа </w:t>
            </w:r>
          </w:p>
        </w:tc>
        <w:tc>
          <w:tcPr>
            <w:tcW w:w="2034" w:type="dxa"/>
            <w:shd w:val="clear" w:color="auto" w:fill="auto"/>
          </w:tcPr>
          <w:p w:rsidR="0081596B" w:rsidRPr="00825086" w:rsidRDefault="009B5740" w:rsidP="00DB1A4A">
            <w:pPr>
              <w:jc w:val="center"/>
            </w:pPr>
            <w:r>
              <w:t>-</w:t>
            </w:r>
          </w:p>
        </w:tc>
        <w:tc>
          <w:tcPr>
            <w:tcW w:w="1524" w:type="dxa"/>
            <w:shd w:val="clear" w:color="auto" w:fill="auto"/>
          </w:tcPr>
          <w:p w:rsidR="0081596B" w:rsidRPr="00825086" w:rsidRDefault="009B5740" w:rsidP="009B5740">
            <w:pPr>
              <w:jc w:val="both"/>
            </w:pPr>
            <w:r>
              <w:t xml:space="preserve">2 000 </w:t>
            </w:r>
          </w:p>
        </w:tc>
        <w:tc>
          <w:tcPr>
            <w:tcW w:w="1991" w:type="dxa"/>
            <w:shd w:val="clear" w:color="auto" w:fill="auto"/>
          </w:tcPr>
          <w:p w:rsidR="0081596B" w:rsidRPr="00825086" w:rsidRDefault="009B5740" w:rsidP="009B5740">
            <w:pPr>
              <w:jc w:val="both"/>
            </w:pPr>
            <w:r>
              <w:t xml:space="preserve">4000 </w:t>
            </w:r>
          </w:p>
        </w:tc>
      </w:tr>
      <w:tr w:rsidR="0081596B" w:rsidRPr="00825086" w:rsidTr="00DB1A4A">
        <w:tc>
          <w:tcPr>
            <w:tcW w:w="2477" w:type="dxa"/>
            <w:shd w:val="clear" w:color="auto" w:fill="auto"/>
          </w:tcPr>
          <w:p w:rsidR="0081596B" w:rsidRDefault="009B5740" w:rsidP="009B5740">
            <w:pPr>
              <w:jc w:val="both"/>
            </w:pPr>
            <w:r>
              <w:t xml:space="preserve">Билеты в кинотеатр «Грани»  </w:t>
            </w:r>
          </w:p>
        </w:tc>
        <w:tc>
          <w:tcPr>
            <w:tcW w:w="1391" w:type="dxa"/>
            <w:shd w:val="clear" w:color="auto" w:fill="auto"/>
          </w:tcPr>
          <w:p w:rsidR="0081596B" w:rsidRPr="00825086" w:rsidRDefault="009B5740" w:rsidP="002A5107">
            <w:pPr>
              <w:jc w:val="center"/>
            </w:pPr>
            <w:r>
              <w:t xml:space="preserve">- </w:t>
            </w:r>
          </w:p>
        </w:tc>
        <w:tc>
          <w:tcPr>
            <w:tcW w:w="2034" w:type="dxa"/>
            <w:shd w:val="clear" w:color="auto" w:fill="auto"/>
          </w:tcPr>
          <w:p w:rsidR="0081596B" w:rsidRPr="00825086" w:rsidRDefault="009B5740" w:rsidP="002A5107">
            <w:pPr>
              <w:jc w:val="center"/>
            </w:pPr>
            <w:r>
              <w:t xml:space="preserve">12 </w:t>
            </w:r>
          </w:p>
        </w:tc>
        <w:tc>
          <w:tcPr>
            <w:tcW w:w="1524" w:type="dxa"/>
            <w:shd w:val="clear" w:color="auto" w:fill="auto"/>
          </w:tcPr>
          <w:p w:rsidR="0081596B" w:rsidRDefault="009B5740" w:rsidP="009B5740">
            <w:pPr>
              <w:jc w:val="both"/>
            </w:pPr>
            <w:r>
              <w:t xml:space="preserve">250 </w:t>
            </w:r>
          </w:p>
        </w:tc>
        <w:tc>
          <w:tcPr>
            <w:tcW w:w="1991" w:type="dxa"/>
            <w:shd w:val="clear" w:color="auto" w:fill="auto"/>
          </w:tcPr>
          <w:p w:rsidR="0081596B" w:rsidRDefault="009B5740" w:rsidP="009B5740">
            <w:pPr>
              <w:jc w:val="both"/>
            </w:pPr>
            <w:r>
              <w:t xml:space="preserve">3000 </w:t>
            </w:r>
          </w:p>
        </w:tc>
      </w:tr>
      <w:tr w:rsidR="00401355" w:rsidRPr="00825086" w:rsidTr="00DB1A4A">
        <w:tc>
          <w:tcPr>
            <w:tcW w:w="2477" w:type="dxa"/>
            <w:shd w:val="clear" w:color="auto" w:fill="auto"/>
          </w:tcPr>
          <w:p w:rsidR="00401355" w:rsidRDefault="009B5740" w:rsidP="002A5107">
            <w:pPr>
              <w:jc w:val="both"/>
            </w:pPr>
            <w:r>
              <w:t xml:space="preserve">Кафе </w:t>
            </w:r>
          </w:p>
        </w:tc>
        <w:tc>
          <w:tcPr>
            <w:tcW w:w="1391" w:type="dxa"/>
            <w:shd w:val="clear" w:color="auto" w:fill="auto"/>
          </w:tcPr>
          <w:p w:rsidR="00401355" w:rsidRPr="00825086" w:rsidRDefault="009B5740" w:rsidP="00401355">
            <w:r>
              <w:t xml:space="preserve">- </w:t>
            </w:r>
          </w:p>
        </w:tc>
        <w:tc>
          <w:tcPr>
            <w:tcW w:w="2034" w:type="dxa"/>
            <w:shd w:val="clear" w:color="auto" w:fill="auto"/>
          </w:tcPr>
          <w:p w:rsidR="00401355" w:rsidRPr="00825086" w:rsidRDefault="009B5740" w:rsidP="002A5107">
            <w:pPr>
              <w:jc w:val="center"/>
            </w:pPr>
            <w:r>
              <w:t xml:space="preserve">12 </w:t>
            </w:r>
          </w:p>
        </w:tc>
        <w:tc>
          <w:tcPr>
            <w:tcW w:w="1524" w:type="dxa"/>
            <w:shd w:val="clear" w:color="auto" w:fill="auto"/>
          </w:tcPr>
          <w:p w:rsidR="00401355" w:rsidRDefault="009B5740" w:rsidP="009B5740">
            <w:pPr>
              <w:jc w:val="both"/>
            </w:pPr>
            <w:r>
              <w:t xml:space="preserve">250 </w:t>
            </w:r>
          </w:p>
        </w:tc>
        <w:tc>
          <w:tcPr>
            <w:tcW w:w="1991" w:type="dxa"/>
            <w:shd w:val="clear" w:color="auto" w:fill="auto"/>
          </w:tcPr>
          <w:p w:rsidR="00401355" w:rsidRDefault="009B5740" w:rsidP="002A5107">
            <w:pPr>
              <w:jc w:val="both"/>
            </w:pPr>
            <w:r>
              <w:t xml:space="preserve">3000 </w:t>
            </w:r>
          </w:p>
        </w:tc>
      </w:tr>
      <w:tr w:rsidR="00376E98" w:rsidRPr="00825086" w:rsidTr="00DB1A4A">
        <w:tc>
          <w:tcPr>
            <w:tcW w:w="2477" w:type="dxa"/>
            <w:shd w:val="clear" w:color="auto" w:fill="auto"/>
          </w:tcPr>
          <w:p w:rsidR="00376E98" w:rsidRDefault="00376E98" w:rsidP="002A5107">
            <w:pPr>
              <w:jc w:val="both"/>
            </w:pPr>
            <w:r>
              <w:t xml:space="preserve">Дипломы </w:t>
            </w:r>
          </w:p>
        </w:tc>
        <w:tc>
          <w:tcPr>
            <w:tcW w:w="1391" w:type="dxa"/>
            <w:shd w:val="clear" w:color="auto" w:fill="auto"/>
          </w:tcPr>
          <w:p w:rsidR="00376E98" w:rsidRDefault="00376E98" w:rsidP="00401355"/>
        </w:tc>
        <w:tc>
          <w:tcPr>
            <w:tcW w:w="2034" w:type="dxa"/>
            <w:shd w:val="clear" w:color="auto" w:fill="auto"/>
          </w:tcPr>
          <w:p w:rsidR="00376E98" w:rsidRDefault="00376E98" w:rsidP="002A5107">
            <w:pPr>
              <w:jc w:val="center"/>
            </w:pPr>
            <w:r>
              <w:t xml:space="preserve">3 </w:t>
            </w:r>
          </w:p>
        </w:tc>
        <w:tc>
          <w:tcPr>
            <w:tcW w:w="1524" w:type="dxa"/>
            <w:shd w:val="clear" w:color="auto" w:fill="auto"/>
          </w:tcPr>
          <w:p w:rsidR="00376E98" w:rsidRDefault="00376E98" w:rsidP="009B5740">
            <w:pPr>
              <w:jc w:val="both"/>
            </w:pPr>
            <w:r>
              <w:t>100</w:t>
            </w:r>
          </w:p>
        </w:tc>
        <w:tc>
          <w:tcPr>
            <w:tcW w:w="1991" w:type="dxa"/>
            <w:shd w:val="clear" w:color="auto" w:fill="auto"/>
          </w:tcPr>
          <w:p w:rsidR="00376E98" w:rsidRDefault="00376E98" w:rsidP="002A5107">
            <w:pPr>
              <w:jc w:val="both"/>
            </w:pPr>
            <w:r>
              <w:t>300</w:t>
            </w:r>
          </w:p>
        </w:tc>
      </w:tr>
      <w:tr w:rsidR="00401355" w:rsidRPr="00825086" w:rsidTr="00DB1A4A">
        <w:tc>
          <w:tcPr>
            <w:tcW w:w="2477" w:type="dxa"/>
            <w:shd w:val="clear" w:color="auto" w:fill="auto"/>
          </w:tcPr>
          <w:p w:rsidR="00401355" w:rsidRPr="009B5740" w:rsidRDefault="00401355" w:rsidP="002A5107">
            <w:pPr>
              <w:jc w:val="both"/>
              <w:rPr>
                <w:b/>
              </w:rPr>
            </w:pPr>
            <w:r w:rsidRPr="009B5740">
              <w:rPr>
                <w:b/>
              </w:rPr>
              <w:t xml:space="preserve">ИТОГО </w:t>
            </w:r>
          </w:p>
        </w:tc>
        <w:tc>
          <w:tcPr>
            <w:tcW w:w="1391" w:type="dxa"/>
            <w:shd w:val="clear" w:color="auto" w:fill="auto"/>
          </w:tcPr>
          <w:p w:rsidR="00401355" w:rsidRPr="00825086" w:rsidRDefault="00401355" w:rsidP="002A5107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401355" w:rsidRPr="00825086" w:rsidRDefault="009B5740" w:rsidP="002A5107">
            <w:pPr>
              <w:jc w:val="center"/>
            </w:pPr>
            <w:r>
              <w:t>12</w:t>
            </w:r>
          </w:p>
        </w:tc>
        <w:tc>
          <w:tcPr>
            <w:tcW w:w="1524" w:type="dxa"/>
            <w:shd w:val="clear" w:color="auto" w:fill="auto"/>
          </w:tcPr>
          <w:p w:rsidR="00401355" w:rsidRDefault="009B5740" w:rsidP="002A5107">
            <w:pPr>
              <w:jc w:val="both"/>
            </w:pPr>
            <w:r>
              <w:t xml:space="preserve">- </w:t>
            </w:r>
          </w:p>
        </w:tc>
        <w:tc>
          <w:tcPr>
            <w:tcW w:w="1991" w:type="dxa"/>
            <w:shd w:val="clear" w:color="auto" w:fill="auto"/>
          </w:tcPr>
          <w:p w:rsidR="00401355" w:rsidRDefault="009B5740" w:rsidP="00376E98">
            <w:pPr>
              <w:jc w:val="both"/>
            </w:pPr>
            <w:r>
              <w:t xml:space="preserve">10 </w:t>
            </w:r>
            <w:r w:rsidR="00376E98">
              <w:t>3</w:t>
            </w:r>
            <w:r>
              <w:t xml:space="preserve">00 </w:t>
            </w:r>
          </w:p>
        </w:tc>
      </w:tr>
    </w:tbl>
    <w:p w:rsidR="0081596B" w:rsidRDefault="0081596B" w:rsidP="0081596B">
      <w:pPr>
        <w:numPr>
          <w:ilvl w:val="1"/>
          <w:numId w:val="2"/>
        </w:numPr>
        <w:jc w:val="both"/>
      </w:pPr>
      <w:r w:rsidRPr="00825086">
        <w:t xml:space="preserve">Общий </w:t>
      </w:r>
      <w:r>
        <w:t>призовой</w:t>
      </w:r>
      <w:r w:rsidRPr="00825086">
        <w:t xml:space="preserve"> фонд составляет </w:t>
      </w:r>
      <w:r w:rsidR="009B5740">
        <w:t>10 </w:t>
      </w:r>
      <w:r w:rsidR="005E1B6E">
        <w:t>3</w:t>
      </w:r>
      <w:r w:rsidR="009B5740">
        <w:t xml:space="preserve">00 </w:t>
      </w:r>
      <w:r w:rsidR="00D73B50">
        <w:t xml:space="preserve">(десять тысяч триста) </w:t>
      </w:r>
      <w:r w:rsidR="009B5740">
        <w:t>р</w:t>
      </w:r>
      <w:r w:rsidRPr="00825086">
        <w:t>ублей</w:t>
      </w:r>
      <w:r>
        <w:t xml:space="preserve"> с НДС 20%</w:t>
      </w:r>
    </w:p>
    <w:p w:rsidR="0081596B" w:rsidRPr="00825086" w:rsidRDefault="0081596B" w:rsidP="0081596B">
      <w:pPr>
        <w:ind w:left="709"/>
        <w:jc w:val="both"/>
      </w:pPr>
    </w:p>
    <w:p w:rsidR="0081596B" w:rsidRPr="00D73B50" w:rsidRDefault="0081596B" w:rsidP="00D73B50">
      <w:pPr>
        <w:pStyle w:val="a5"/>
        <w:numPr>
          <w:ilvl w:val="0"/>
          <w:numId w:val="3"/>
        </w:numPr>
        <w:jc w:val="center"/>
        <w:rPr>
          <w:b/>
        </w:rPr>
      </w:pPr>
      <w:r w:rsidRPr="00D73B50">
        <w:rPr>
          <w:b/>
        </w:rPr>
        <w:t>Порядок проведения Акции</w:t>
      </w:r>
    </w:p>
    <w:p w:rsidR="0081596B" w:rsidRPr="00825086" w:rsidRDefault="0081596B" w:rsidP="0081596B">
      <w:pPr>
        <w:ind w:hanging="142"/>
        <w:jc w:val="both"/>
      </w:pPr>
      <w:r w:rsidRPr="00825086">
        <w:t xml:space="preserve">7.1. Контроль за соблюдением условий </w:t>
      </w:r>
      <w:r w:rsidR="00D73B50">
        <w:t>А</w:t>
      </w:r>
      <w:r>
        <w:t>кции</w:t>
      </w:r>
      <w:r w:rsidRPr="00825086">
        <w:t xml:space="preserve"> и определения победителей, указанны</w:t>
      </w:r>
      <w:r>
        <w:t>х</w:t>
      </w:r>
      <w:r w:rsidRPr="00825086">
        <w:t xml:space="preserve"> в настояще</w:t>
      </w:r>
      <w:r>
        <w:t>м</w:t>
      </w:r>
      <w:r w:rsidRPr="00825086">
        <w:t xml:space="preserve"> Положени</w:t>
      </w:r>
      <w:r>
        <w:t>и</w:t>
      </w:r>
      <w:r w:rsidRPr="00825086">
        <w:t>, осуществляет комиссия в составе:</w:t>
      </w:r>
    </w:p>
    <w:p w:rsidR="0081596B" w:rsidRPr="00825086" w:rsidRDefault="0081596B" w:rsidP="0081596B">
      <w:pPr>
        <w:jc w:val="both"/>
        <w:rPr>
          <w:b/>
        </w:rPr>
      </w:pPr>
      <w:r w:rsidRPr="00825086">
        <w:rPr>
          <w:b/>
        </w:rPr>
        <w:t>Председателя комиссии:</w:t>
      </w:r>
    </w:p>
    <w:p w:rsidR="0081596B" w:rsidRPr="00825086" w:rsidRDefault="0081596B" w:rsidP="0081596B">
      <w:pPr>
        <w:rPr>
          <w:b/>
        </w:rPr>
      </w:pPr>
      <w:r>
        <w:t xml:space="preserve"> </w:t>
      </w:r>
      <w:r w:rsidR="009B5740">
        <w:t>И. о. г</w:t>
      </w:r>
      <w:r>
        <w:t xml:space="preserve">лавного редактора-руководителя филиала </w:t>
      </w:r>
      <w:proofErr w:type="spellStart"/>
      <w:r w:rsidR="009B5740">
        <w:t>Самерхановой</w:t>
      </w:r>
      <w:proofErr w:type="spellEnd"/>
      <w:r>
        <w:t xml:space="preserve"> </w:t>
      </w:r>
      <w:r w:rsidR="00D73B50">
        <w:t>С.Н.</w:t>
      </w:r>
    </w:p>
    <w:p w:rsidR="0081596B" w:rsidRPr="00825086" w:rsidRDefault="0081596B" w:rsidP="0081596B">
      <w:pPr>
        <w:rPr>
          <w:b/>
        </w:rPr>
      </w:pPr>
      <w:r w:rsidRPr="00825086">
        <w:rPr>
          <w:b/>
        </w:rPr>
        <w:t>Членов комиссии:</w:t>
      </w:r>
    </w:p>
    <w:p w:rsidR="0081596B" w:rsidRDefault="0081596B" w:rsidP="0081596B">
      <w:r>
        <w:t>Главного редактора газеты «</w:t>
      </w:r>
      <w:proofErr w:type="spellStart"/>
      <w:r>
        <w:t>Дуслык</w:t>
      </w:r>
      <w:proofErr w:type="spellEnd"/>
      <w:r>
        <w:t>» («Дружба», «</w:t>
      </w:r>
      <w:proofErr w:type="spellStart"/>
      <w:r>
        <w:t>Туслах</w:t>
      </w:r>
      <w:proofErr w:type="spellEnd"/>
      <w:r>
        <w:t xml:space="preserve">») </w:t>
      </w:r>
      <w:proofErr w:type="spellStart"/>
      <w:r>
        <w:t>Мубаракшиной</w:t>
      </w:r>
      <w:proofErr w:type="spellEnd"/>
      <w:r>
        <w:t xml:space="preserve"> Л.М.</w:t>
      </w:r>
    </w:p>
    <w:p w:rsidR="0081596B" w:rsidRPr="00825086" w:rsidRDefault="0081596B" w:rsidP="0081596B">
      <w:pPr>
        <w:rPr>
          <w:b/>
        </w:rPr>
      </w:pPr>
      <w:r>
        <w:t xml:space="preserve">Заместителя главного редактора </w:t>
      </w:r>
      <w:r w:rsidR="009B5740">
        <w:t>Садыковой</w:t>
      </w:r>
      <w:r>
        <w:t xml:space="preserve"> </w:t>
      </w:r>
      <w:r w:rsidR="00D73B50">
        <w:t>Г.Р.</w:t>
      </w:r>
    </w:p>
    <w:p w:rsidR="0081596B" w:rsidRPr="00825086" w:rsidRDefault="00D73B50" w:rsidP="0081596B">
      <w:pPr>
        <w:jc w:val="both"/>
      </w:pPr>
      <w:r>
        <w:t>Главного б</w:t>
      </w:r>
      <w:r w:rsidR="0081596B">
        <w:t>у</w:t>
      </w:r>
      <w:r w:rsidR="0081596B" w:rsidRPr="00825086">
        <w:t>хгалтер</w:t>
      </w:r>
      <w:r w:rsidR="0081596B">
        <w:t>а</w:t>
      </w:r>
      <w:r w:rsidR="0081596B" w:rsidRPr="00825086">
        <w:t xml:space="preserve"> –</w:t>
      </w:r>
      <w:proofErr w:type="spellStart"/>
      <w:r w:rsidR="009B5740">
        <w:t>Хадиевой</w:t>
      </w:r>
      <w:proofErr w:type="spellEnd"/>
      <w:r w:rsidRPr="00D73B50">
        <w:t xml:space="preserve"> </w:t>
      </w:r>
      <w:r>
        <w:t>Р.Ф.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7.2. </w:t>
      </w:r>
      <w:r>
        <w:t>Победител</w:t>
      </w:r>
      <w:r w:rsidR="00D73B50">
        <w:t>и</w:t>
      </w:r>
      <w:r>
        <w:t xml:space="preserve"> Акции </w:t>
      </w:r>
      <w:r w:rsidR="00D73B50">
        <w:t>выявляю</w:t>
      </w:r>
      <w:r w:rsidR="00376E98">
        <w:t>тся путем проведения розыгрыша среди всех участников</w:t>
      </w:r>
      <w:r>
        <w:t>,</w:t>
      </w:r>
      <w:r w:rsidR="00376E98">
        <w:t xml:space="preserve"> приславших копии квитанций </w:t>
      </w:r>
      <w:r w:rsidR="00376E98">
        <w:t xml:space="preserve">по указанному электронному адресу </w:t>
      </w:r>
      <w:r w:rsidR="00376E98">
        <w:t xml:space="preserve">об оформлении подписки на газету </w:t>
      </w:r>
      <w:r w:rsidR="00376E98" w:rsidRPr="003732D0">
        <w:t>«</w:t>
      </w:r>
      <w:proofErr w:type="spellStart"/>
      <w:r w:rsidR="00376E98" w:rsidRPr="003732D0">
        <w:t>Дуслык</w:t>
      </w:r>
      <w:proofErr w:type="spellEnd"/>
      <w:r w:rsidR="00376E98" w:rsidRPr="003732D0">
        <w:t>» («Дружба», «</w:t>
      </w:r>
      <w:proofErr w:type="spellStart"/>
      <w:r w:rsidR="00376E98" w:rsidRPr="003732D0">
        <w:t>Туслах</w:t>
      </w:r>
      <w:proofErr w:type="spellEnd"/>
      <w:r w:rsidR="00376E98" w:rsidRPr="003732D0">
        <w:t xml:space="preserve">») на </w:t>
      </w:r>
      <w:r w:rsidR="00376E98">
        <w:t>первое</w:t>
      </w:r>
      <w:r w:rsidR="00376E98" w:rsidRPr="003732D0">
        <w:t xml:space="preserve"> полугодие 20</w:t>
      </w:r>
      <w:r w:rsidR="00376E98">
        <w:t>2</w:t>
      </w:r>
      <w:r w:rsidR="00376E98">
        <w:t>5</w:t>
      </w:r>
      <w:r w:rsidR="00376E98" w:rsidRPr="003732D0">
        <w:t xml:space="preserve"> года</w:t>
      </w:r>
      <w:r w:rsidR="00376E98">
        <w:t xml:space="preserve">, </w:t>
      </w:r>
      <w:r w:rsidR="00376E98">
        <w:t>при условии, что п</w:t>
      </w:r>
      <w:r w:rsidR="00376E98" w:rsidRPr="003732D0">
        <w:t>одписка оформлена не менее чем на 6 (шесть) месяцев</w:t>
      </w:r>
      <w:r w:rsidR="00376E98">
        <w:t xml:space="preserve">. </w:t>
      </w:r>
    </w:p>
    <w:p w:rsidR="0081596B" w:rsidRDefault="0081596B" w:rsidP="0081596B">
      <w:pPr>
        <w:ind w:firstLine="709"/>
        <w:jc w:val="both"/>
      </w:pPr>
      <w:r>
        <w:t>7.3.</w:t>
      </w:r>
      <w:r>
        <w:rPr>
          <w:color w:val="FF6600"/>
        </w:rPr>
        <w:t xml:space="preserve"> </w:t>
      </w:r>
      <w:r w:rsidRPr="003732D0">
        <w:t xml:space="preserve">По итогам проведения </w:t>
      </w:r>
      <w:r>
        <w:t xml:space="preserve">Акции </w:t>
      </w:r>
      <w:r w:rsidRPr="003732D0">
        <w:t xml:space="preserve">Комиссия составляет Протокол, где фиксируются результаты проведения </w:t>
      </w:r>
      <w:r>
        <w:t>Акции</w:t>
      </w:r>
      <w:r w:rsidRPr="003732D0">
        <w:t xml:space="preserve">. Протокол скрепляется подписями всех членов Комиссии и подлежит хранению Организатором проведения </w:t>
      </w:r>
      <w:r>
        <w:t>Акции</w:t>
      </w:r>
      <w:r w:rsidRPr="003732D0">
        <w:t>. Розыгрыш будет проводит</w:t>
      </w:r>
      <w:r>
        <w:t>ь</w:t>
      </w:r>
      <w:r w:rsidRPr="003732D0">
        <w:t>ся</w:t>
      </w:r>
      <w:r w:rsidR="00376E98">
        <w:t xml:space="preserve"> 22 ноября 2024 года в 14.00 по</w:t>
      </w:r>
      <w:r w:rsidR="006473BF">
        <w:t xml:space="preserve"> адресу: </w:t>
      </w:r>
      <w:proofErr w:type="spellStart"/>
      <w:r w:rsidR="006473BF">
        <w:t>г.Нурлат</w:t>
      </w:r>
      <w:proofErr w:type="spellEnd"/>
      <w:r w:rsidR="006473BF">
        <w:t>, ул. К.Маркса,</w:t>
      </w:r>
      <w:r w:rsidR="00376E98">
        <w:t xml:space="preserve">1Г. </w:t>
      </w:r>
    </w:p>
    <w:p w:rsidR="0081596B" w:rsidRDefault="0081596B" w:rsidP="0081596B">
      <w:pPr>
        <w:ind w:firstLine="709"/>
        <w:jc w:val="both"/>
      </w:pPr>
    </w:p>
    <w:p w:rsidR="0081596B" w:rsidRPr="00825086" w:rsidRDefault="0081596B" w:rsidP="00D73B50">
      <w:pPr>
        <w:numPr>
          <w:ilvl w:val="0"/>
          <w:numId w:val="3"/>
        </w:numPr>
        <w:jc w:val="center"/>
        <w:rPr>
          <w:b/>
        </w:rPr>
      </w:pPr>
      <w:r w:rsidRPr="00825086">
        <w:rPr>
          <w:b/>
        </w:rPr>
        <w:t xml:space="preserve">Порядок </w:t>
      </w:r>
      <w:r w:rsidR="00376E98">
        <w:rPr>
          <w:b/>
        </w:rPr>
        <w:t>награждения</w:t>
      </w:r>
      <w:r w:rsidR="00DC7E61">
        <w:rPr>
          <w:b/>
        </w:rPr>
        <w:t>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8.1. </w:t>
      </w:r>
      <w:r w:rsidR="006473BF">
        <w:t>Праздник для семей-</w:t>
      </w:r>
      <w:r w:rsidRPr="00825086">
        <w:t>победител</w:t>
      </w:r>
      <w:r w:rsidR="006473BF">
        <w:t>ей</w:t>
      </w:r>
      <w:r w:rsidRPr="00825086">
        <w:t xml:space="preserve"> </w:t>
      </w:r>
      <w:r w:rsidR="006473BF">
        <w:t xml:space="preserve">проводится </w:t>
      </w:r>
      <w:r w:rsidRPr="00825086">
        <w:t>в срок, установленный в пункте 3.</w:t>
      </w:r>
      <w:r>
        <w:t>4</w:t>
      </w:r>
      <w:r w:rsidR="006473BF">
        <w:t>.</w:t>
      </w:r>
      <w:r w:rsidRPr="00825086">
        <w:t xml:space="preserve"> настоящего Положения. </w:t>
      </w:r>
    </w:p>
    <w:p w:rsidR="006473BF" w:rsidRDefault="0081596B" w:rsidP="0081596B">
      <w:pPr>
        <w:ind w:firstLine="709"/>
        <w:jc w:val="both"/>
      </w:pPr>
      <w:r w:rsidRPr="00825086">
        <w:lastRenderedPageBreak/>
        <w:t xml:space="preserve">8.2. </w:t>
      </w:r>
      <w:r>
        <w:t>Пр</w:t>
      </w:r>
      <w:r w:rsidR="006473BF">
        <w:t xml:space="preserve">аздник состоится в КДЦ «Грани» по адресу: </w:t>
      </w:r>
      <w:proofErr w:type="spellStart"/>
      <w:r w:rsidR="006473BF">
        <w:t>г.Нурлат</w:t>
      </w:r>
      <w:proofErr w:type="spellEnd"/>
      <w:r w:rsidR="006473BF">
        <w:t xml:space="preserve">, ул. </w:t>
      </w:r>
      <w:proofErr w:type="spellStart"/>
      <w:r w:rsidR="006473BF">
        <w:t>Мугинова</w:t>
      </w:r>
      <w:proofErr w:type="spellEnd"/>
      <w:r w:rsidR="006473BF">
        <w:t>, 10</w:t>
      </w:r>
      <w:r w:rsidR="00DC7E61">
        <w:t xml:space="preserve"> 29 ноября в 16.00</w:t>
      </w:r>
      <w:r w:rsidR="006473BF">
        <w:t xml:space="preserve">.  </w:t>
      </w:r>
    </w:p>
    <w:p w:rsidR="0081596B" w:rsidRPr="003732D0" w:rsidRDefault="0081596B" w:rsidP="0081596B">
      <w:pPr>
        <w:ind w:firstLine="709"/>
        <w:jc w:val="both"/>
      </w:pPr>
      <w:r>
        <w:t>8.3</w:t>
      </w:r>
      <w:r w:rsidRPr="00142838">
        <w:t>.</w:t>
      </w:r>
      <w:r w:rsidRPr="00C35BAF">
        <w:rPr>
          <w:color w:val="FF6600"/>
        </w:rPr>
        <w:t xml:space="preserve"> </w:t>
      </w:r>
      <w:r w:rsidRPr="003732D0">
        <w:t>Победители дают свое полное и безусловное согласие на обработку их персональных данных (включая паспортные и адресные)</w:t>
      </w:r>
      <w:r w:rsidR="006473BF">
        <w:t xml:space="preserve">. </w:t>
      </w:r>
      <w:r w:rsidRPr="003732D0">
        <w:t xml:space="preserve">Все персональные данные (включая паспортные и адресные) используются окончательно в связи с </w:t>
      </w:r>
      <w:r>
        <w:t>Акцией</w:t>
      </w:r>
      <w:r w:rsidRPr="003732D0">
        <w:t xml:space="preserve">. Доступ к персональным данным Участников </w:t>
      </w:r>
      <w:r>
        <w:t>Акции</w:t>
      </w:r>
      <w:r w:rsidRPr="003732D0">
        <w:t xml:space="preserve"> имеет исключительно Организатор </w:t>
      </w:r>
      <w:r>
        <w:t>Акции</w:t>
      </w:r>
      <w:r w:rsidRPr="003732D0">
        <w:t>.</w:t>
      </w:r>
    </w:p>
    <w:p w:rsidR="0081596B" w:rsidRPr="003732D0" w:rsidRDefault="0081596B" w:rsidP="0081596B">
      <w:pPr>
        <w:ind w:firstLine="709"/>
        <w:jc w:val="both"/>
      </w:pPr>
      <w:r w:rsidRPr="003732D0">
        <w:t xml:space="preserve">8.4. Предоставление своих персональных данных Победителями </w:t>
      </w:r>
      <w:r>
        <w:t>Акции</w:t>
      </w:r>
      <w:r w:rsidRPr="003732D0">
        <w:t xml:space="preserve"> происходит исключительно на добровольных началах. Победители </w:t>
      </w:r>
      <w:r>
        <w:t>Акции</w:t>
      </w:r>
      <w:r w:rsidRPr="003732D0">
        <w:t xml:space="preserve"> принимают к сведению, понимают и согласны с тем, что непредставление ими (представление недостоверных) персональных данных может привести к задержке выдачи Приза </w:t>
      </w:r>
      <w:r>
        <w:t>Акции</w:t>
      </w:r>
      <w:r w:rsidRPr="003732D0">
        <w:t>.</w:t>
      </w:r>
    </w:p>
    <w:p w:rsidR="0081596B" w:rsidRPr="00825086" w:rsidRDefault="0081596B" w:rsidP="0081596B">
      <w:pPr>
        <w:ind w:firstLine="709"/>
        <w:jc w:val="both"/>
      </w:pPr>
      <w:r w:rsidRPr="00825086">
        <w:t>8.</w:t>
      </w:r>
      <w:r>
        <w:t>5</w:t>
      </w:r>
      <w:r w:rsidRPr="00825086">
        <w:t>. Организатор не несет ответственности за недостоверность сведений, предоставляемых Участниками.</w:t>
      </w:r>
    </w:p>
    <w:p w:rsidR="0081596B" w:rsidRPr="00825086" w:rsidRDefault="0081596B" w:rsidP="00D73B50">
      <w:pPr>
        <w:numPr>
          <w:ilvl w:val="0"/>
          <w:numId w:val="3"/>
        </w:numPr>
        <w:jc w:val="center"/>
        <w:rPr>
          <w:b/>
        </w:rPr>
      </w:pPr>
      <w:r w:rsidRPr="00825086">
        <w:rPr>
          <w:b/>
        </w:rPr>
        <w:t>Особые условия</w:t>
      </w:r>
    </w:p>
    <w:p w:rsidR="0081596B" w:rsidRPr="00825086" w:rsidRDefault="0081596B" w:rsidP="0081596B">
      <w:pPr>
        <w:ind w:firstLine="709"/>
        <w:jc w:val="both"/>
      </w:pPr>
      <w:r w:rsidRPr="00825086">
        <w:t>9.1. Организатор вправе вносить изменения в настоящее Положение по своему усмотрению.</w:t>
      </w:r>
    </w:p>
    <w:p w:rsidR="0081596B" w:rsidRPr="00825086" w:rsidRDefault="0081596B" w:rsidP="0081596B">
      <w:pPr>
        <w:ind w:firstLine="709"/>
        <w:jc w:val="both"/>
      </w:pPr>
      <w:r w:rsidRPr="00825086">
        <w:t xml:space="preserve">9.2. Результаты проведения </w:t>
      </w:r>
      <w:r>
        <w:t>Акции</w:t>
      </w:r>
      <w:r w:rsidRPr="00825086">
        <w:t xml:space="preserve"> являются окончательными и не подлежат пересмотру.</w:t>
      </w:r>
      <w:bookmarkStart w:id="0" w:name="_GoBack"/>
      <w:bookmarkEnd w:id="0"/>
    </w:p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>
      <w:pPr>
        <w:pStyle w:val="a3"/>
        <w:shd w:val="clear" w:color="auto" w:fill="FFFFFF"/>
        <w:spacing w:before="0" w:beforeAutospacing="0"/>
        <w:rPr>
          <w:rFonts w:ascii="Arial" w:hAnsi="Arial" w:cs="Arial"/>
          <w:color w:val="555555"/>
          <w:sz w:val="23"/>
          <w:szCs w:val="23"/>
        </w:rPr>
      </w:pPr>
    </w:p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Default="0081596B" w:rsidP="0081596B"/>
    <w:p w:rsidR="0081596B" w:rsidRPr="00867D29" w:rsidRDefault="0081596B" w:rsidP="0081596B"/>
    <w:p w:rsidR="00875AAB" w:rsidRDefault="00DC7E61"/>
    <w:sectPr w:rsidR="00875AAB" w:rsidSect="009B0B2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E63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0E8250D7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 w15:restartNumberingAfterBreak="0">
    <w:nsid w:val="58E10768"/>
    <w:multiLevelType w:val="multilevel"/>
    <w:tmpl w:val="90C68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B"/>
    <w:rsid w:val="000707B4"/>
    <w:rsid w:val="001507C0"/>
    <w:rsid w:val="001F3B36"/>
    <w:rsid w:val="0032704D"/>
    <w:rsid w:val="00376E98"/>
    <w:rsid w:val="003F7F13"/>
    <w:rsid w:val="00401355"/>
    <w:rsid w:val="005E1B6E"/>
    <w:rsid w:val="0064427C"/>
    <w:rsid w:val="006473BF"/>
    <w:rsid w:val="0081596B"/>
    <w:rsid w:val="009B5740"/>
    <w:rsid w:val="00D73B50"/>
    <w:rsid w:val="00DB1A4A"/>
    <w:rsid w:val="00DC7E61"/>
    <w:rsid w:val="00D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6019"/>
  <w15:chartTrackingRefBased/>
  <w15:docId w15:val="{D70D9E28-87FE-45F4-87E8-D02A7192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6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96B"/>
    <w:pPr>
      <w:spacing w:before="100" w:beforeAutospacing="1" w:after="100" w:afterAutospacing="1"/>
    </w:pPr>
  </w:style>
  <w:style w:type="character" w:customStyle="1" w:styleId="29f8f">
    <w:name w:val="_29f8f"/>
    <w:basedOn w:val="a0"/>
    <w:rsid w:val="00401355"/>
  </w:style>
  <w:style w:type="character" w:styleId="a4">
    <w:name w:val="Hyperlink"/>
    <w:basedOn w:val="a0"/>
    <w:uiPriority w:val="99"/>
    <w:unhideWhenUsed/>
    <w:rsid w:val="00DB1A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a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М. Мубаракшина</dc:creator>
  <cp:keywords/>
  <dc:description/>
  <cp:lastModifiedBy>Лилия М. Мубаракшина</cp:lastModifiedBy>
  <cp:revision>3</cp:revision>
  <dcterms:created xsi:type="dcterms:W3CDTF">2024-10-17T15:00:00Z</dcterms:created>
  <dcterms:modified xsi:type="dcterms:W3CDTF">2024-10-17T15:11:00Z</dcterms:modified>
</cp:coreProperties>
</file>